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80" w:rsidRDefault="002E4DCF">
      <w:pPr>
        <w:pStyle w:val="Standard"/>
        <w:spacing w:after="160" w:line="259" w:lineRule="exact"/>
      </w:pPr>
      <w:r>
        <w:rPr>
          <w:rFonts w:ascii="Calibri" w:eastAsia="Calibri" w:hAnsi="Calibri" w:cs="Calibri"/>
          <w:color w:val="00000A"/>
          <w:sz w:val="36"/>
          <w:vertAlign w:val="subscript"/>
        </w:rPr>
        <w:t xml:space="preserve"> 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930"/>
      </w:tblGrid>
      <w:tr w:rsidR="00D57180" w:rsidTr="006E3EC0">
        <w:trPr>
          <w:cantSplit/>
          <w:trHeight w:val="57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57180" w:rsidRDefault="00D57180" w:rsidP="006E3EC0">
            <w:r>
              <w:rPr>
                <w:noProof/>
                <w:lang w:eastAsia="cs-CZ" w:bidi="ar-SA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-351155</wp:posOffset>
                  </wp:positionH>
                  <wp:positionV relativeFrom="paragraph">
                    <wp:posOffset>-351155</wp:posOffset>
                  </wp:positionV>
                  <wp:extent cx="1062990" cy="1188720"/>
                  <wp:effectExtent l="0" t="0" r="3810" b="0"/>
                  <wp:wrapNone/>
                  <wp:docPr id="1" name="Obrázek 1" descr="znak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180" w:rsidRDefault="00D57180" w:rsidP="006E3EC0">
            <w:pPr>
              <w:pStyle w:val="Nadpis1"/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MĚSTO ŽELEZNICE</w:t>
            </w:r>
          </w:p>
        </w:tc>
      </w:tr>
    </w:tbl>
    <w:p w:rsidR="00D57180" w:rsidRDefault="00D57180" w:rsidP="00D57180"/>
    <w:p w:rsidR="00D57180" w:rsidRDefault="00D57180" w:rsidP="00D57180"/>
    <w:p w:rsidR="00BF00A3" w:rsidRDefault="00BF00A3">
      <w:pPr>
        <w:pStyle w:val="Standard"/>
        <w:spacing w:after="160" w:line="259" w:lineRule="exact"/>
      </w:pPr>
    </w:p>
    <w:tbl>
      <w:tblPr>
        <w:tblW w:w="96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931"/>
      </w:tblGrid>
      <w:tr w:rsidR="00BF00A3">
        <w:trPr>
          <w:cantSplit/>
          <w:trHeight w:val="577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0A3" w:rsidRDefault="00BF00A3">
            <w:pPr>
              <w:pStyle w:val="Standard"/>
              <w:spacing w:after="160" w:line="259" w:lineRule="exact"/>
              <w:jc w:val="both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A3" w:rsidRDefault="00BF00A3">
            <w:pPr>
              <w:pStyle w:val="Standard"/>
              <w:keepNext/>
              <w:tabs>
                <w:tab w:val="left" w:pos="864"/>
              </w:tabs>
              <w:spacing w:line="240" w:lineRule="exact"/>
              <w:ind w:left="432"/>
              <w:jc w:val="both"/>
            </w:pPr>
          </w:p>
        </w:tc>
      </w:tr>
      <w:tr w:rsidR="00BF00A3">
        <w:trPr>
          <w:cantSplit/>
          <w:trHeight w:val="577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0A3" w:rsidRDefault="00BF00A3">
            <w:pPr>
              <w:pStyle w:val="Standard"/>
              <w:spacing w:after="160" w:line="259" w:lineRule="exact"/>
              <w:jc w:val="both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0A3" w:rsidRDefault="00BF00A3">
            <w:pPr>
              <w:pStyle w:val="Standard"/>
              <w:keepNext/>
              <w:tabs>
                <w:tab w:val="left" w:pos="864"/>
              </w:tabs>
              <w:spacing w:line="240" w:lineRule="exact"/>
              <w:ind w:left="432"/>
              <w:jc w:val="both"/>
              <w:rPr>
                <w:rFonts w:ascii="Bookman Old Style" w:eastAsia="Bookman Old Style" w:hAnsi="Bookman Old Style" w:cs="Bookman Old Style"/>
                <w:b/>
                <w:color w:val="0000FF"/>
                <w:sz w:val="40"/>
                <w:u w:val="single"/>
                <w:vertAlign w:val="subscript"/>
              </w:rPr>
            </w:pPr>
          </w:p>
        </w:tc>
      </w:tr>
    </w:tbl>
    <w:p w:rsidR="00BF00A3" w:rsidRDefault="00BF00A3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F00A3" w:rsidRDefault="00BF00A3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F00A3" w:rsidRDefault="00BF00A3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sz w:val="36"/>
          <w:vertAlign w:val="subscript"/>
        </w:rPr>
      </w:pPr>
    </w:p>
    <w:p w:rsidR="00D57180" w:rsidRDefault="00885989">
      <w:pPr>
        <w:pStyle w:val="Standard"/>
        <w:spacing w:after="160" w:line="259" w:lineRule="exact"/>
        <w:jc w:val="both"/>
        <w:rPr>
          <w:rFonts w:ascii="Calibri" w:eastAsia="Calibri" w:hAnsi="Calibri" w:cs="Calibri"/>
          <w:b/>
          <w:color w:val="00000A"/>
          <w:sz w:val="40"/>
          <w:szCs w:val="40"/>
          <w:vertAlign w:val="subscript"/>
        </w:rPr>
      </w:pPr>
      <w:r w:rsidRPr="00D57180">
        <w:rPr>
          <w:rFonts w:ascii="Calibri" w:eastAsia="Calibri" w:hAnsi="Calibri" w:cs="Calibri"/>
          <w:b/>
          <w:color w:val="00000A"/>
          <w:sz w:val="52"/>
          <w:szCs w:val="52"/>
          <w:vertAlign w:val="subscript"/>
        </w:rPr>
        <w:t xml:space="preserve">Vnitřní směrnice </w:t>
      </w:r>
      <w:r w:rsidR="00F259D5">
        <w:rPr>
          <w:rFonts w:ascii="Calibri" w:eastAsia="Calibri" w:hAnsi="Calibri" w:cs="Calibri"/>
          <w:b/>
          <w:color w:val="00000A"/>
          <w:sz w:val="52"/>
          <w:szCs w:val="52"/>
          <w:vertAlign w:val="subscript"/>
        </w:rPr>
        <w:t>č.</w:t>
      </w:r>
      <w:r w:rsidRPr="00D57180">
        <w:rPr>
          <w:rFonts w:ascii="Calibri" w:eastAsia="Calibri" w:hAnsi="Calibri" w:cs="Calibri"/>
          <w:b/>
          <w:color w:val="00000A"/>
          <w:sz w:val="52"/>
          <w:szCs w:val="52"/>
          <w:vertAlign w:val="subscript"/>
        </w:rPr>
        <w:t>1/2016</w:t>
      </w:r>
      <w:r w:rsidR="002E4DCF">
        <w:rPr>
          <w:rFonts w:ascii="Calibri" w:eastAsia="Calibri" w:hAnsi="Calibri" w:cs="Calibri"/>
          <w:b/>
          <w:color w:val="00000A"/>
          <w:sz w:val="40"/>
          <w:szCs w:val="40"/>
          <w:vertAlign w:val="subscript"/>
        </w:rPr>
        <w:t xml:space="preserve">, </w:t>
      </w:r>
    </w:p>
    <w:p w:rsidR="00BF00A3" w:rsidRDefault="002E4DCF">
      <w:pPr>
        <w:pStyle w:val="Standard"/>
        <w:spacing w:after="160" w:line="259" w:lineRule="exact"/>
        <w:jc w:val="both"/>
      </w:pPr>
      <w:r>
        <w:rPr>
          <w:rFonts w:ascii="Calibri" w:eastAsia="Calibri" w:hAnsi="Calibri" w:cs="Calibri"/>
          <w:b/>
          <w:color w:val="00000A"/>
          <w:sz w:val="40"/>
          <w:szCs w:val="40"/>
          <w:vertAlign w:val="subscript"/>
        </w:rPr>
        <w:t xml:space="preserve">kterou se stanovuje postup města Železnice při zadávání veřejných </w:t>
      </w:r>
      <w:r w:rsidR="00C85E27">
        <w:rPr>
          <w:rFonts w:ascii="Calibri" w:eastAsia="Calibri" w:hAnsi="Calibri" w:cs="Calibri"/>
          <w:b/>
          <w:color w:val="00000A"/>
          <w:sz w:val="40"/>
          <w:szCs w:val="40"/>
          <w:vertAlign w:val="subscript"/>
        </w:rPr>
        <w:t xml:space="preserve">zakázek </w:t>
      </w:r>
    </w:p>
    <w:p w:rsidR="00BF00A3" w:rsidRPr="00885989" w:rsidRDefault="00E301E8">
      <w:pPr>
        <w:pStyle w:val="Standard"/>
        <w:spacing w:after="160" w:line="259" w:lineRule="exact"/>
        <w:jc w:val="both"/>
        <w:rPr>
          <w:rFonts w:cs="Times New Roman"/>
          <w:b/>
          <w:sz w:val="32"/>
          <w:szCs w:val="32"/>
        </w:rPr>
      </w:pPr>
      <w:r>
        <w:rPr>
          <w:rFonts w:eastAsia="Calibri" w:cs="Times New Roman"/>
          <w:b/>
          <w:color w:val="00000A"/>
          <w:sz w:val="40"/>
          <w:szCs w:val="40"/>
          <w:vertAlign w:val="subscript"/>
        </w:rPr>
        <w:t>podle  zákona</w:t>
      </w:r>
      <w:r w:rsidR="00F259D5">
        <w:rPr>
          <w:rFonts w:eastAsia="Calibri" w:cs="Times New Roman"/>
          <w:b/>
          <w:color w:val="00000A"/>
          <w:sz w:val="40"/>
          <w:szCs w:val="40"/>
          <w:vertAlign w:val="subscript"/>
        </w:rPr>
        <w:t xml:space="preserve"> č.</w:t>
      </w:r>
      <w:r w:rsidR="00885989">
        <w:rPr>
          <w:rFonts w:eastAsia="Calibri" w:cs="Times New Roman"/>
          <w:b/>
          <w:color w:val="00000A"/>
          <w:sz w:val="40"/>
          <w:szCs w:val="40"/>
          <w:vertAlign w:val="subscript"/>
        </w:rPr>
        <w:t xml:space="preserve"> 134/2016 Sb. o veřejných zakázkách, v platném </w:t>
      </w:r>
    </w:p>
    <w:p w:rsidR="00BF00A3" w:rsidRPr="00885989" w:rsidRDefault="00885989">
      <w:pPr>
        <w:pStyle w:val="Standard"/>
        <w:spacing w:after="160" w:line="259" w:lineRule="exact"/>
        <w:rPr>
          <w:rFonts w:eastAsia="Calibri" w:cs="Times New Roman"/>
          <w:b/>
          <w:color w:val="00000A"/>
          <w:sz w:val="40"/>
          <w:szCs w:val="40"/>
          <w:vertAlign w:val="subscript"/>
        </w:rPr>
      </w:pPr>
      <w:r w:rsidRPr="00885989">
        <w:rPr>
          <w:rFonts w:eastAsia="Calibri" w:cs="Times New Roman"/>
          <w:b/>
          <w:color w:val="00000A"/>
          <w:sz w:val="40"/>
          <w:szCs w:val="40"/>
          <w:vertAlign w:val="subscript"/>
        </w:rPr>
        <w:t>znění</w:t>
      </w:r>
    </w:p>
    <w:p w:rsidR="00BF00A3" w:rsidRDefault="00B64870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  <w:r>
        <w:rPr>
          <w:rFonts w:eastAsia="Calibri" w:cs="Times New Roman"/>
          <w:color w:val="00000A"/>
          <w:sz w:val="32"/>
          <w:szCs w:val="32"/>
          <w:vertAlign w:val="subscript"/>
        </w:rPr>
        <w:t>úplné znění včetně dodatku č. 1</w:t>
      </w: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2E4DCF">
      <w:pPr>
        <w:pStyle w:val="Standard"/>
        <w:spacing w:after="160" w:line="259" w:lineRule="exact"/>
      </w:pPr>
      <w:r>
        <w:rPr>
          <w:rFonts w:eastAsia="Calibri" w:cs="Times New Roman"/>
          <w:color w:val="00000A"/>
          <w:sz w:val="32"/>
          <w:szCs w:val="32"/>
          <w:vertAlign w:val="subscript"/>
        </w:rPr>
        <w:t>Směrnici zpracovala: ing .Dana Kracíková</w:t>
      </w:r>
    </w:p>
    <w:p w:rsidR="00BF00A3" w:rsidRDefault="002E4DCF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  <w:r>
        <w:rPr>
          <w:rFonts w:eastAsia="Calibri" w:cs="Times New Roman"/>
          <w:color w:val="00000A"/>
          <w:sz w:val="32"/>
          <w:szCs w:val="32"/>
          <w:vertAlign w:val="subscript"/>
        </w:rPr>
        <w:t xml:space="preserve">Směrnici schválila Rada města dne: </w:t>
      </w:r>
      <w:r w:rsidR="00D57180">
        <w:rPr>
          <w:rFonts w:eastAsia="Calibri" w:cs="Times New Roman"/>
          <w:color w:val="00000A"/>
          <w:sz w:val="32"/>
          <w:szCs w:val="32"/>
          <w:vertAlign w:val="subscript"/>
        </w:rPr>
        <w:t>21.11.2016</w:t>
      </w:r>
    </w:p>
    <w:p w:rsidR="00BF00A3" w:rsidRDefault="00B64870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  <w:r>
        <w:rPr>
          <w:rFonts w:eastAsia="Calibri" w:cs="Times New Roman"/>
          <w:color w:val="00000A"/>
          <w:sz w:val="32"/>
          <w:szCs w:val="32"/>
          <w:vertAlign w:val="subscript"/>
        </w:rPr>
        <w:t>dodatek č. 1 schválila Rada města 2.10.2017</w:t>
      </w: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>
      <w:pPr>
        <w:pStyle w:val="Standard"/>
        <w:spacing w:after="160" w:line="259" w:lineRule="exact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Default="00BF00A3" w:rsidP="00930971">
      <w:pPr>
        <w:pStyle w:val="Standard"/>
        <w:spacing w:after="160" w:line="259" w:lineRule="exact"/>
        <w:jc w:val="both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Pr="00486057" w:rsidRDefault="00BF00A3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BF00A3" w:rsidRPr="00486057" w:rsidRDefault="002E4DCF" w:rsidP="00930971">
      <w:pPr>
        <w:pStyle w:val="Standard"/>
        <w:numPr>
          <w:ilvl w:val="1"/>
          <w:numId w:val="8"/>
        </w:numPr>
        <w:spacing w:after="160" w:line="259" w:lineRule="exact"/>
        <w:jc w:val="both"/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</w:pPr>
      <w:r w:rsidRPr="00486057"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>Úvodní ustanovení</w:t>
      </w:r>
    </w:p>
    <w:p w:rsidR="00844225" w:rsidRPr="00486057" w:rsidRDefault="00844225" w:rsidP="00930971">
      <w:pPr>
        <w:pStyle w:val="Standard"/>
        <w:spacing w:after="160" w:line="259" w:lineRule="exact"/>
        <w:ind w:left="1080"/>
        <w:jc w:val="both"/>
        <w:rPr>
          <w:rFonts w:eastAsia="Calibri" w:cs="Times New Roman"/>
          <w:b/>
          <w:color w:val="00000A"/>
          <w:sz w:val="32"/>
          <w:szCs w:val="32"/>
          <w:vertAlign w:val="subscript"/>
        </w:rPr>
      </w:pPr>
    </w:p>
    <w:p w:rsidR="00523E92" w:rsidRPr="00486057" w:rsidRDefault="00930971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            </w:t>
      </w:r>
      <w:r w:rsidR="00523E92" w:rsidRPr="00486057">
        <w:rPr>
          <w:rFonts w:cs="Times New Roman"/>
        </w:rPr>
        <w:t>Tato směrnice upravuje postup města Železnice při zadávání veřejných zakázek.</w:t>
      </w:r>
    </w:p>
    <w:p w:rsidR="00610BBF" w:rsidRPr="00486057" w:rsidRDefault="00930971" w:rsidP="00930971">
      <w:pPr>
        <w:pStyle w:val="Standard"/>
        <w:spacing w:after="160" w:line="259" w:lineRule="exact"/>
        <w:ind w:left="709"/>
        <w:jc w:val="both"/>
        <w:rPr>
          <w:rFonts w:cs="Times New Roman"/>
        </w:rPr>
      </w:pPr>
      <w:r w:rsidRPr="00486057">
        <w:rPr>
          <w:rFonts w:cs="Times New Roman"/>
        </w:rPr>
        <w:t xml:space="preserve"> </w:t>
      </w:r>
      <w:r w:rsidR="00523E92" w:rsidRPr="00486057">
        <w:rPr>
          <w:rFonts w:cs="Times New Roman"/>
        </w:rPr>
        <w:t xml:space="preserve">Veřejnou zakázku je možné realizovat pouze za předpokladu jejího  rozpočtového </w:t>
      </w:r>
      <w:r w:rsidR="00610BBF" w:rsidRPr="00486057">
        <w:rPr>
          <w:rFonts w:cs="Times New Roman"/>
        </w:rPr>
        <w:t xml:space="preserve">  </w:t>
      </w:r>
      <w:r w:rsidRPr="00486057">
        <w:rPr>
          <w:rFonts w:cs="Times New Roman"/>
        </w:rPr>
        <w:t xml:space="preserve">  </w:t>
      </w:r>
      <w:r w:rsidR="00523E92" w:rsidRPr="00486057">
        <w:rPr>
          <w:rFonts w:cs="Times New Roman"/>
        </w:rPr>
        <w:t>krytí. V případě plnění veřejné zakázky , která je</w:t>
      </w:r>
      <w:r w:rsidR="00610BBF" w:rsidRPr="00486057">
        <w:rPr>
          <w:rFonts w:cs="Times New Roman"/>
        </w:rPr>
        <w:t xml:space="preserve"> </w:t>
      </w:r>
      <w:r w:rsidR="00523E92" w:rsidRPr="00486057">
        <w:rPr>
          <w:rFonts w:cs="Times New Roman"/>
        </w:rPr>
        <w:t>závislá na přidělení finančních prostředků z dotačního programu, musí smluvní ujednání obsahovat podmínku, která stanoví, že smlouva nabývá účinnosti ,pokud bude závazně schváleno poskytnutí finančních prostředků na krytí celkové ceny díla, která není kryta z rozpočtu zadavatele.</w:t>
      </w:r>
    </w:p>
    <w:p w:rsidR="00844225" w:rsidRPr="00486057" w:rsidRDefault="00844225" w:rsidP="00930971">
      <w:pPr>
        <w:pStyle w:val="Standard"/>
        <w:spacing w:after="160" w:line="259" w:lineRule="exact"/>
        <w:ind w:left="1080"/>
        <w:jc w:val="both"/>
        <w:rPr>
          <w:rFonts w:cs="Times New Roman"/>
        </w:rPr>
      </w:pPr>
    </w:p>
    <w:p w:rsidR="00CD03E4" w:rsidRPr="00486057" w:rsidRDefault="00523E92" w:rsidP="00930971">
      <w:pPr>
        <w:pStyle w:val="Standard"/>
        <w:spacing w:after="160" w:line="259" w:lineRule="exact"/>
        <w:ind w:left="600"/>
        <w:jc w:val="both"/>
        <w:rPr>
          <w:rFonts w:cs="Times New Roman"/>
        </w:rPr>
      </w:pPr>
      <w:r w:rsidRPr="00486057">
        <w:rPr>
          <w:rFonts w:cs="Times New Roman"/>
        </w:rPr>
        <w:t xml:space="preserve">Veškeré veřejné zakázky musí realizovány při dodržení zásad transparentnosti, </w:t>
      </w:r>
      <w:r w:rsidR="00930971" w:rsidRPr="00486057">
        <w:rPr>
          <w:rFonts w:cs="Times New Roman"/>
        </w:rPr>
        <w:t xml:space="preserve">   r</w:t>
      </w:r>
      <w:r w:rsidRPr="00486057">
        <w:rPr>
          <w:rFonts w:cs="Times New Roman"/>
        </w:rPr>
        <w:t>ovného zacházení, zákazu diskriminace, přiměřenosti.</w:t>
      </w:r>
    </w:p>
    <w:p w:rsidR="00844225" w:rsidRPr="00486057" w:rsidRDefault="00844225" w:rsidP="00930971">
      <w:pPr>
        <w:pStyle w:val="Standard"/>
        <w:spacing w:after="160" w:line="259" w:lineRule="exact"/>
        <w:ind w:left="1080"/>
        <w:jc w:val="both"/>
        <w:rPr>
          <w:rFonts w:cs="Times New Roman"/>
        </w:rPr>
      </w:pPr>
    </w:p>
    <w:p w:rsidR="00610BBF" w:rsidRPr="00486057" w:rsidRDefault="00610BBF" w:rsidP="00930971">
      <w:pPr>
        <w:pStyle w:val="Standard"/>
        <w:spacing w:after="160" w:line="259" w:lineRule="exact"/>
        <w:ind w:left="600"/>
        <w:jc w:val="both"/>
        <w:rPr>
          <w:rFonts w:cs="Times New Roman"/>
        </w:rPr>
      </w:pPr>
      <w:r w:rsidRPr="00486057">
        <w:rPr>
          <w:rFonts w:cs="Times New Roman"/>
        </w:rPr>
        <w:t>Rada města může v souladu s touto směrnicí pověřit výkonem zadavatelských činností na základě uzavření smluvního vztahu jinou právnickou či fyzickou osobu( dále jen pověřená osoba).</w:t>
      </w:r>
    </w:p>
    <w:p w:rsidR="00486057" w:rsidRPr="00486057" w:rsidRDefault="00486057" w:rsidP="00930971">
      <w:pPr>
        <w:pStyle w:val="Standard"/>
        <w:spacing w:after="160" w:line="259" w:lineRule="exact"/>
        <w:ind w:left="600"/>
        <w:jc w:val="both"/>
        <w:rPr>
          <w:rFonts w:ascii="Bookman Old Style" w:hAnsi="Bookman Old Style" w:cs="Arial"/>
        </w:rPr>
      </w:pPr>
    </w:p>
    <w:p w:rsidR="00486057" w:rsidRPr="00486057" w:rsidRDefault="00486057" w:rsidP="00930971">
      <w:pPr>
        <w:pStyle w:val="Standard"/>
        <w:spacing w:after="160" w:line="259" w:lineRule="exact"/>
        <w:ind w:left="600"/>
        <w:jc w:val="both"/>
        <w:rPr>
          <w:rFonts w:cs="Times New Roman"/>
        </w:rPr>
      </w:pPr>
    </w:p>
    <w:p w:rsidR="00523E92" w:rsidRPr="00486057" w:rsidRDefault="00523E92" w:rsidP="00930971">
      <w:pPr>
        <w:pStyle w:val="Standard"/>
        <w:numPr>
          <w:ilvl w:val="1"/>
          <w:numId w:val="8"/>
        </w:numPr>
        <w:spacing w:after="160" w:line="259" w:lineRule="exact"/>
        <w:jc w:val="both"/>
        <w:rPr>
          <w:rFonts w:cs="Times New Roman"/>
          <w:b/>
        </w:rPr>
      </w:pPr>
      <w:r w:rsidRPr="00486057">
        <w:rPr>
          <w:rFonts w:cs="Times New Roman"/>
          <w:b/>
        </w:rPr>
        <w:t>Druhy veřejných zakázek</w:t>
      </w:r>
    </w:p>
    <w:p w:rsidR="00523E92" w:rsidRPr="00486057" w:rsidRDefault="00523E92" w:rsidP="00930971">
      <w:pPr>
        <w:pStyle w:val="Standard"/>
        <w:spacing w:after="160" w:line="259" w:lineRule="exact"/>
        <w:ind w:left="720"/>
        <w:jc w:val="both"/>
        <w:rPr>
          <w:rFonts w:cs="Times New Roman"/>
        </w:rPr>
      </w:pPr>
      <w:r w:rsidRPr="00486057">
        <w:rPr>
          <w:rFonts w:cs="Times New Roman"/>
        </w:rPr>
        <w:t>Veřejné zakázky se podle výše předpokládané hodnoty dělí následovně:</w:t>
      </w:r>
    </w:p>
    <w:p w:rsidR="00523E92" w:rsidRPr="00486057" w:rsidRDefault="00930971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            a)</w:t>
      </w:r>
      <w:r w:rsidR="00523E92" w:rsidRPr="00486057">
        <w:rPr>
          <w:rFonts w:cs="Times New Roman"/>
        </w:rPr>
        <w:t>Veřejné zakázky malého rozsahu</w:t>
      </w:r>
    </w:p>
    <w:p w:rsidR="00D411A4" w:rsidRPr="00486057" w:rsidRDefault="00D411A4" w:rsidP="00930971">
      <w:pPr>
        <w:pStyle w:val="Standard"/>
        <w:spacing w:after="160" w:line="259" w:lineRule="exact"/>
        <w:ind w:left="709"/>
        <w:jc w:val="both"/>
        <w:rPr>
          <w:rFonts w:cs="Times New Roman"/>
        </w:rPr>
      </w:pPr>
      <w:r w:rsidRPr="00486057">
        <w:rPr>
          <w:rFonts w:cs="Times New Roman"/>
        </w:rPr>
        <w:t>aa)na služby a dodávky v předpokládané výši plnění nejvýše do částky 2 000 000,-Kč bez DPH</w:t>
      </w:r>
    </w:p>
    <w:p w:rsidR="00D411A4" w:rsidRPr="00486057" w:rsidRDefault="00D411A4" w:rsidP="00930971">
      <w:pPr>
        <w:pStyle w:val="Standard"/>
        <w:spacing w:after="160" w:line="259" w:lineRule="exact"/>
        <w:ind w:left="709" w:firstLine="11"/>
        <w:jc w:val="both"/>
        <w:rPr>
          <w:rFonts w:cs="Times New Roman"/>
        </w:rPr>
      </w:pPr>
      <w:r w:rsidRPr="00486057">
        <w:rPr>
          <w:rFonts w:cs="Times New Roman"/>
        </w:rPr>
        <w:t>ab)na stavební práce v předpokládané výši plnění nejvýše do částky</w:t>
      </w:r>
      <w:r w:rsidR="00930971" w:rsidRPr="00486057">
        <w:rPr>
          <w:rFonts w:cs="Times New Roman"/>
        </w:rPr>
        <w:t xml:space="preserve"> </w:t>
      </w:r>
      <w:r w:rsidRPr="00486057">
        <w:rPr>
          <w:rFonts w:cs="Times New Roman"/>
        </w:rPr>
        <w:t>6 000 000,-Kč bez DPH</w:t>
      </w:r>
    </w:p>
    <w:p w:rsidR="00D411A4" w:rsidRPr="00486057" w:rsidRDefault="00930971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             b)</w:t>
      </w:r>
      <w:r w:rsidR="00D411A4" w:rsidRPr="00486057">
        <w:rPr>
          <w:rFonts w:cs="Times New Roman"/>
        </w:rPr>
        <w:t>Podlimitní veřejné zakázky na služby, dodávky a stavební práce</w:t>
      </w:r>
    </w:p>
    <w:p w:rsidR="00D411A4" w:rsidRPr="00486057" w:rsidRDefault="00930971" w:rsidP="00930971">
      <w:pPr>
        <w:pStyle w:val="Standard"/>
        <w:spacing w:after="160" w:line="259" w:lineRule="exact"/>
        <w:ind w:left="709"/>
        <w:jc w:val="both"/>
        <w:rPr>
          <w:rFonts w:cs="Times New Roman"/>
        </w:rPr>
      </w:pPr>
      <w:r w:rsidRPr="00486057">
        <w:rPr>
          <w:rFonts w:cs="Times New Roman"/>
        </w:rPr>
        <w:t xml:space="preserve"> </w:t>
      </w:r>
      <w:r w:rsidR="00D411A4" w:rsidRPr="00486057">
        <w:rPr>
          <w:rFonts w:cs="Times New Roman"/>
        </w:rPr>
        <w:t xml:space="preserve">v předpokládané výši plnění dle nařízení č. 172/2016 Sb. o </w:t>
      </w:r>
      <w:r w:rsidRPr="00486057">
        <w:rPr>
          <w:rFonts w:cs="Times New Roman"/>
        </w:rPr>
        <w:t>stanovení finančních   l</w:t>
      </w:r>
      <w:r w:rsidR="00D411A4" w:rsidRPr="00486057">
        <w:rPr>
          <w:rFonts w:cs="Times New Roman"/>
        </w:rPr>
        <w:t>imitů a částek pro účelů záko</w:t>
      </w:r>
      <w:r w:rsidRPr="00486057">
        <w:rPr>
          <w:rFonts w:cs="Times New Roman"/>
        </w:rPr>
        <w:t xml:space="preserve">na o zadávání veřejných zakázek </w:t>
      </w:r>
      <w:r w:rsidR="00D411A4" w:rsidRPr="00486057">
        <w:rPr>
          <w:rFonts w:cs="Times New Roman"/>
        </w:rPr>
        <w:t>v platném znění</w:t>
      </w:r>
    </w:p>
    <w:p w:rsidR="00D411A4" w:rsidRPr="00486057" w:rsidRDefault="00930971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  </w:t>
      </w:r>
      <w:r w:rsidR="00486057">
        <w:rPr>
          <w:rFonts w:cs="Times New Roman"/>
        </w:rPr>
        <w:tab/>
      </w:r>
      <w:r w:rsidRPr="00486057">
        <w:rPr>
          <w:rFonts w:cs="Times New Roman"/>
        </w:rPr>
        <w:t xml:space="preserve"> c)</w:t>
      </w:r>
      <w:r w:rsidR="00D411A4" w:rsidRPr="00486057">
        <w:rPr>
          <w:rFonts w:cs="Times New Roman"/>
        </w:rPr>
        <w:t>Nadlimitní veřejné zakázky</w:t>
      </w:r>
    </w:p>
    <w:p w:rsidR="00D411A4" w:rsidRPr="00486057" w:rsidRDefault="00930971" w:rsidP="00486057">
      <w:pPr>
        <w:pStyle w:val="Standard"/>
        <w:spacing w:after="160" w:line="259" w:lineRule="exact"/>
        <w:ind w:left="709"/>
        <w:jc w:val="both"/>
        <w:rPr>
          <w:rFonts w:cs="Times New Roman"/>
        </w:rPr>
      </w:pPr>
      <w:r w:rsidRPr="00486057">
        <w:rPr>
          <w:rFonts w:cs="Times New Roman"/>
        </w:rPr>
        <w:t xml:space="preserve"> </w:t>
      </w:r>
      <w:r w:rsidR="00D411A4" w:rsidRPr="00486057">
        <w:rPr>
          <w:rFonts w:cs="Times New Roman"/>
        </w:rPr>
        <w:t xml:space="preserve">v předpokládané výši plnění dle nařízení č. 172/2016 Sb. o stanovení </w:t>
      </w:r>
      <w:r w:rsidR="00A842F5" w:rsidRPr="00486057">
        <w:rPr>
          <w:rFonts w:cs="Times New Roman"/>
        </w:rPr>
        <w:t xml:space="preserve"> </w:t>
      </w:r>
      <w:r w:rsidR="00D411A4" w:rsidRPr="00486057">
        <w:rPr>
          <w:rFonts w:cs="Times New Roman"/>
        </w:rPr>
        <w:t xml:space="preserve">finančních limitů </w:t>
      </w:r>
      <w:r w:rsidRPr="00486057">
        <w:rPr>
          <w:rFonts w:cs="Times New Roman"/>
        </w:rPr>
        <w:t xml:space="preserve">   </w:t>
      </w:r>
      <w:r w:rsidR="00486057" w:rsidRPr="00486057">
        <w:rPr>
          <w:rFonts w:cs="Times New Roman"/>
        </w:rPr>
        <w:t xml:space="preserve">  </w:t>
      </w:r>
      <w:r w:rsidR="00D411A4" w:rsidRPr="00486057">
        <w:rPr>
          <w:rFonts w:cs="Times New Roman"/>
        </w:rPr>
        <w:t>a částek pro účelů zákona o zadávání veřejných zakázek v platném znění</w:t>
      </w:r>
    </w:p>
    <w:p w:rsidR="00D411A4" w:rsidRPr="00486057" w:rsidRDefault="00D411A4" w:rsidP="00930971">
      <w:pPr>
        <w:pStyle w:val="Standard"/>
        <w:spacing w:after="160" w:line="259" w:lineRule="exact"/>
        <w:ind w:left="1440"/>
        <w:jc w:val="both"/>
        <w:rPr>
          <w:rFonts w:ascii="Arial" w:hAnsi="Arial" w:cs="Arial"/>
        </w:rPr>
      </w:pPr>
    </w:p>
    <w:p w:rsidR="00523E92" w:rsidRPr="00486057" w:rsidRDefault="00523E92" w:rsidP="00930971">
      <w:pPr>
        <w:pStyle w:val="Standard"/>
        <w:spacing w:after="160" w:line="259" w:lineRule="exact"/>
        <w:jc w:val="both"/>
        <w:rPr>
          <w:rFonts w:ascii="Arial" w:hAnsi="Arial" w:cs="Arial"/>
        </w:rPr>
      </w:pPr>
    </w:p>
    <w:p w:rsidR="00BF00A3" w:rsidRPr="00486057" w:rsidRDefault="00BF00A3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BF00A3" w:rsidRPr="00486057" w:rsidRDefault="00BF00A3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BF00A3" w:rsidRPr="00486057" w:rsidRDefault="002E4DCF" w:rsidP="00930971">
      <w:pPr>
        <w:pStyle w:val="Standard"/>
        <w:spacing w:after="160" w:line="259" w:lineRule="exact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>3. Zadávací dokumentace</w:t>
      </w:r>
    </w:p>
    <w:p w:rsidR="00BF00A3" w:rsidRPr="00486057" w:rsidRDefault="002E4DCF" w:rsidP="00930971">
      <w:pPr>
        <w:pStyle w:val="Standard"/>
        <w:spacing w:after="160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V zadávací dokumentaci je zadavatel povinen jednoznačně a srozumitelně specifikovat </w:t>
      </w:r>
      <w:r w:rsidR="00844225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veškeré požadavky na plnění veřejné </w:t>
      </w:r>
      <w:r w:rsidRPr="00486057"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zakázky, aby uchazeči byli schopni na podkladě zpracované dokumentace předložit zadavateli vzájemně  por</w:t>
      </w:r>
      <w:r w:rsidR="00F92C38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ovnatelné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nabídky. Zadavatel nesmí uvést v zadávací dokumentaci při vymezení předmětu veřejné zakázky či formulaci technických podmínek jakákoliv označení , která jsou příznačná výhradně pro určitého dodavatele.</w:t>
      </w:r>
    </w:p>
    <w:p w:rsidR="00BF00A3" w:rsidRPr="00486057" w:rsidRDefault="00BF00A3" w:rsidP="00930971">
      <w:pPr>
        <w:pStyle w:val="Standard"/>
        <w:spacing w:after="160" w:line="259" w:lineRule="exact"/>
        <w:ind w:left="2280"/>
        <w:jc w:val="both"/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</w:pPr>
    </w:p>
    <w:p w:rsidR="00844225" w:rsidRPr="00486057" w:rsidRDefault="0044201D" w:rsidP="00930971">
      <w:pPr>
        <w:pStyle w:val="Standard"/>
        <w:spacing w:after="160" w:line="259" w:lineRule="exact"/>
        <w:jc w:val="both"/>
        <w:rPr>
          <w:rFonts w:ascii="Arial" w:hAnsi="Arial" w:cs="Arial"/>
          <w:sz w:val="36"/>
          <w:szCs w:val="36"/>
        </w:rPr>
      </w:pPr>
      <w:r w:rsidRPr="00486057">
        <w:rPr>
          <w:rFonts w:ascii="Arial" w:eastAsia="Calibri" w:hAnsi="Arial" w:cs="Arial"/>
          <w:b/>
          <w:color w:val="00000A"/>
          <w:sz w:val="36"/>
          <w:szCs w:val="36"/>
          <w:vertAlign w:val="subscript"/>
        </w:rPr>
        <w:t>4.</w:t>
      </w:r>
      <w:r w:rsidR="002E4DCF" w:rsidRPr="00486057">
        <w:rPr>
          <w:rFonts w:ascii="Arial" w:eastAsia="Calibri" w:hAnsi="Arial" w:cs="Arial"/>
          <w:b/>
          <w:color w:val="00000A"/>
          <w:sz w:val="36"/>
          <w:szCs w:val="36"/>
          <w:vertAlign w:val="subscript"/>
        </w:rPr>
        <w:t>Uveřejňování</w:t>
      </w:r>
    </w:p>
    <w:p w:rsidR="00844225" w:rsidRPr="00486057" w:rsidRDefault="002E4DCF" w:rsidP="00930971">
      <w:pPr>
        <w:pStyle w:val="Standard"/>
        <w:spacing w:after="160" w:line="259" w:lineRule="exact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Zadavatel odpovídá za uveřejňování informací týkajících se zadávacího řízení v sou</w:t>
      </w:r>
      <w:r w:rsidR="00F92C38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ladu se </w:t>
      </w:r>
      <w:r w:rsidR="00844225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</w:t>
      </w:r>
      <w:r w:rsidR="00F92C38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zákonem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.</w:t>
      </w:r>
    </w:p>
    <w:p w:rsidR="00BF00A3" w:rsidRPr="00486057" w:rsidRDefault="002E4DCF" w:rsidP="00930971">
      <w:pPr>
        <w:pStyle w:val="Standard"/>
        <w:spacing w:after="160" w:line="259" w:lineRule="exact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Veškeré úkony zadavatele při zadávání veřejných zakázek musí být zveřejňovány postupem dle zákona a dále na profilu zadavatele</w:t>
      </w:r>
    </w:p>
    <w:p w:rsidR="00BF00A3" w:rsidRPr="00486057" w:rsidRDefault="002E4DCF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Za správné zveřejněné zodpovídá starosta, v jeho nepřítomnosti místostarosta. Pro zveřejnění </w:t>
      </w:r>
      <w:r w:rsidR="00844225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se </w:t>
      </w:r>
      <w:r w:rsidR="00844225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využívá portál www vhodné- uveřejnění.cz</w:t>
      </w:r>
      <w:r w:rsidR="00F92C38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.</w:t>
      </w:r>
    </w:p>
    <w:p w:rsidR="00844225" w:rsidRPr="00486057" w:rsidRDefault="00844225" w:rsidP="00930971">
      <w:pPr>
        <w:pStyle w:val="Standard"/>
        <w:spacing w:after="160" w:line="259" w:lineRule="exact"/>
        <w:ind w:left="690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A842F5" w:rsidRPr="00486057" w:rsidRDefault="00A842F5" w:rsidP="00930971">
      <w:pPr>
        <w:pStyle w:val="Standard"/>
        <w:spacing w:after="160" w:line="259" w:lineRule="exact"/>
        <w:jc w:val="both"/>
        <w:rPr>
          <w:rFonts w:ascii="Arial" w:hAnsi="Arial" w:cs="Arial"/>
          <w:b/>
        </w:rPr>
      </w:pPr>
      <w:r w:rsidRPr="00486057">
        <w:rPr>
          <w:rFonts w:ascii="Arial" w:hAnsi="Arial" w:cs="Arial"/>
          <w:b/>
        </w:rPr>
        <w:t xml:space="preserve">5. </w:t>
      </w:r>
      <w:r w:rsidRPr="00C35743">
        <w:rPr>
          <w:rFonts w:ascii="Arial" w:hAnsi="Arial" w:cs="Arial"/>
          <w:b/>
          <w:sz w:val="22"/>
          <w:szCs w:val="22"/>
        </w:rPr>
        <w:t>Výkon zadavatelských činností městem Železnice</w:t>
      </w:r>
    </w:p>
    <w:p w:rsidR="00A842F5" w:rsidRPr="00486057" w:rsidRDefault="00A842F5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Podmínky zadávacího řízení veřejných zakázek nadlimitních i podlimitních </w:t>
      </w:r>
      <w:r w:rsidR="00844225" w:rsidRPr="00486057">
        <w:rPr>
          <w:rFonts w:cs="Times New Roman"/>
        </w:rPr>
        <w:t xml:space="preserve">      </w:t>
      </w:r>
      <w:r w:rsidR="002A13B8" w:rsidRPr="00486057">
        <w:rPr>
          <w:rFonts w:cs="Times New Roman"/>
        </w:rPr>
        <w:t xml:space="preserve"> </w:t>
      </w:r>
      <w:r w:rsidRPr="00486057">
        <w:rPr>
          <w:rFonts w:cs="Times New Roman"/>
        </w:rPr>
        <w:t>projednává vždy rada města, pokud se nejedná o vyhrazenou působnost zastupitelstva města.</w:t>
      </w:r>
    </w:p>
    <w:p w:rsidR="00A842F5" w:rsidRPr="00486057" w:rsidRDefault="00A842F5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Rada schvaluje druh zadávacího řízení a </w:t>
      </w:r>
      <w:r w:rsidR="00A51DED" w:rsidRPr="00486057">
        <w:rPr>
          <w:rFonts w:cs="Times New Roman"/>
        </w:rPr>
        <w:t xml:space="preserve"> s </w:t>
      </w:r>
      <w:r w:rsidRPr="00486057">
        <w:rPr>
          <w:rFonts w:cs="Times New Roman"/>
        </w:rPr>
        <w:t xml:space="preserve">ním související podmínky zvoleného </w:t>
      </w:r>
      <w:r w:rsidR="002A13B8" w:rsidRPr="00486057">
        <w:rPr>
          <w:rFonts w:cs="Times New Roman"/>
        </w:rPr>
        <w:t xml:space="preserve">  </w:t>
      </w:r>
      <w:r w:rsidRPr="00486057">
        <w:rPr>
          <w:rFonts w:cs="Times New Roman"/>
        </w:rPr>
        <w:t>druhu řízení vyplývající ze zákona.</w:t>
      </w:r>
    </w:p>
    <w:p w:rsidR="00A842F5" w:rsidRPr="00486057" w:rsidRDefault="00A842F5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Rada rozhoduje o výběru dodavatele na základě projednání písemné zprávy o </w:t>
      </w:r>
      <w:r w:rsidR="002A13B8" w:rsidRPr="00486057">
        <w:rPr>
          <w:rFonts w:cs="Times New Roman"/>
        </w:rPr>
        <w:t xml:space="preserve"> </w:t>
      </w:r>
      <w:r w:rsidRPr="00486057">
        <w:rPr>
          <w:rFonts w:cs="Times New Roman"/>
        </w:rPr>
        <w:t>hodnocení a posouzení hodnotící komise, pokud se nejedná o vyhrazenou působnost zastupitelstva</w:t>
      </w:r>
      <w:r w:rsidR="00A51DED" w:rsidRPr="00486057">
        <w:rPr>
          <w:rFonts w:cs="Times New Roman"/>
        </w:rPr>
        <w:t xml:space="preserve"> ( u VZMR  se postupuje dle čl. 6)</w:t>
      </w:r>
    </w:p>
    <w:p w:rsidR="00A842F5" w:rsidRPr="00486057" w:rsidRDefault="00A842F5" w:rsidP="00930971">
      <w:pPr>
        <w:pStyle w:val="Standard"/>
        <w:spacing w:after="160" w:line="259" w:lineRule="exact"/>
        <w:jc w:val="both"/>
        <w:rPr>
          <w:rFonts w:cs="Times New Roman"/>
        </w:rPr>
      </w:pPr>
      <w:r w:rsidRPr="00486057">
        <w:rPr>
          <w:rFonts w:cs="Times New Roman"/>
        </w:rPr>
        <w:t xml:space="preserve">Rada rozhoduje o zrušení zadávacího řízení, o vyloučení účastníka či vybraného </w:t>
      </w:r>
      <w:r w:rsidR="00815F64" w:rsidRPr="00486057">
        <w:rPr>
          <w:rFonts w:cs="Times New Roman"/>
        </w:rPr>
        <w:t xml:space="preserve"> </w:t>
      </w:r>
      <w:r w:rsidRPr="00486057">
        <w:rPr>
          <w:rFonts w:cs="Times New Roman"/>
        </w:rPr>
        <w:t>dodavatele</w:t>
      </w:r>
      <w:r w:rsidR="00A51DED" w:rsidRPr="00486057">
        <w:rPr>
          <w:rFonts w:cs="Times New Roman"/>
        </w:rPr>
        <w:t>, o námitkách.</w:t>
      </w:r>
    </w:p>
    <w:p w:rsidR="005C5FEC" w:rsidRPr="00486057" w:rsidRDefault="00A51DED" w:rsidP="00930971">
      <w:pPr>
        <w:pStyle w:val="Standard"/>
        <w:spacing w:after="160" w:line="240" w:lineRule="exact"/>
        <w:jc w:val="both"/>
        <w:rPr>
          <w:rFonts w:eastAsia="Calibri" w:cs="Times New Roman"/>
          <w:b/>
          <w:color w:val="00000A"/>
          <w:sz w:val="36"/>
          <w:szCs w:val="36"/>
          <w:vertAlign w:val="subscript"/>
        </w:rPr>
      </w:pPr>
      <w:r w:rsidRPr="00486057">
        <w:rPr>
          <w:rFonts w:eastAsia="Calibri" w:cs="Times New Roman"/>
          <w:b/>
          <w:color w:val="00000A"/>
          <w:sz w:val="36"/>
          <w:szCs w:val="36"/>
          <w:vertAlign w:val="subscript"/>
        </w:rPr>
        <w:t>6</w:t>
      </w:r>
      <w:r w:rsidR="002E4DCF" w:rsidRPr="00486057">
        <w:rPr>
          <w:rFonts w:eastAsia="Calibri" w:cs="Times New Roman"/>
          <w:b/>
          <w:color w:val="00000A"/>
          <w:sz w:val="36"/>
          <w:szCs w:val="36"/>
          <w:vertAlign w:val="subscript"/>
        </w:rPr>
        <w:t>. Veřejné zakázky malého rozsahu</w:t>
      </w:r>
    </w:p>
    <w:p w:rsidR="005C5FEC" w:rsidRPr="00486057" w:rsidRDefault="005C5FEC" w:rsidP="00930971">
      <w:pPr>
        <w:pStyle w:val="Standard"/>
        <w:spacing w:after="160" w:line="240" w:lineRule="exact"/>
        <w:jc w:val="both"/>
        <w:rPr>
          <w:rFonts w:eastAsia="Calibri" w:cs="Times New Roman"/>
          <w:b/>
          <w:color w:val="00000A"/>
          <w:sz w:val="36"/>
          <w:szCs w:val="36"/>
          <w:vertAlign w:val="subscript"/>
        </w:rPr>
      </w:pPr>
      <w:r w:rsidRPr="00486057">
        <w:rPr>
          <w:rFonts w:cs="Times New Roman"/>
        </w:rPr>
        <w:t xml:space="preserve">Veřejné zakázky malého rozsahu ve smyslu § 27 zákona 134/2016 Sb.  v platném </w:t>
      </w:r>
      <w:r w:rsidR="00815F64" w:rsidRPr="00486057">
        <w:rPr>
          <w:rFonts w:cs="Times New Roman"/>
        </w:rPr>
        <w:t xml:space="preserve">   </w:t>
      </w:r>
      <w:r w:rsidRPr="00486057">
        <w:rPr>
          <w:rFonts w:cs="Times New Roman"/>
        </w:rPr>
        <w:t xml:space="preserve">znění  </w:t>
      </w:r>
      <w:r w:rsidR="00815F64" w:rsidRPr="00486057">
        <w:rPr>
          <w:rFonts w:cs="Times New Roman"/>
        </w:rPr>
        <w:t xml:space="preserve">  </w:t>
      </w:r>
      <w:r w:rsidRPr="00486057">
        <w:rPr>
          <w:rFonts w:cs="Times New Roman"/>
        </w:rPr>
        <w:t>není  město  v souladu s § 31 povinno zadávat postupem podle zákona, ale musí vždy dodržovat zásady uvedené v § 6 tj. zásady transparentnosti, rovného zacházení, zákazu diskriminace a přiměřenosti. Pro zadávání veřejných zakázek malého rozsahu tato směrnice stanoví následující postup:</w:t>
      </w:r>
    </w:p>
    <w:p w:rsidR="005C5FEC" w:rsidRPr="00486057" w:rsidRDefault="005C5FEC" w:rsidP="00930971">
      <w:pPr>
        <w:pStyle w:val="Standard"/>
        <w:spacing w:after="160" w:line="240" w:lineRule="exact"/>
        <w:ind w:left="2790"/>
        <w:jc w:val="both"/>
        <w:rPr>
          <w:rFonts w:cs="Times New Roman"/>
        </w:rPr>
      </w:pPr>
    </w:p>
    <w:p w:rsidR="00BF00A3" w:rsidRPr="00486057" w:rsidRDefault="002E4DCF" w:rsidP="00930971">
      <w:pPr>
        <w:pStyle w:val="Standard"/>
        <w:spacing w:line="240" w:lineRule="auto"/>
        <w:jc w:val="both"/>
        <w:rPr>
          <w:rFonts w:cs="Times New Roman"/>
          <w:sz w:val="32"/>
          <w:szCs w:val="32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Veřejné zakázky  malého rozsahu se pro účely této směrnice </w:t>
      </w:r>
      <w:r w:rsidR="00815F64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rozdělují do následujících </w:t>
      </w:r>
      <w:r w:rsidR="00815F64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 </w:t>
      </w: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kategorií:</w:t>
      </w:r>
    </w:p>
    <w:p w:rsidR="00BF00A3" w:rsidRPr="00486057" w:rsidRDefault="002E4DCF" w:rsidP="00930971">
      <w:pPr>
        <w:pStyle w:val="Standard"/>
        <w:spacing w:line="240" w:lineRule="auto"/>
        <w:jc w:val="both"/>
        <w:rPr>
          <w:rFonts w:cs="Times New Roman"/>
          <w:sz w:val="32"/>
          <w:szCs w:val="32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a) I. kategorie-  veřejné zakázky malého rozsahu do</w:t>
      </w:r>
      <w:r w:rsidR="00D01C8C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50 tis. Kč bez DPH</w:t>
      </w:r>
    </w:p>
    <w:p w:rsidR="009C6586" w:rsidRPr="00486057" w:rsidRDefault="002E4DCF" w:rsidP="00930971">
      <w:pPr>
        <w:pStyle w:val="Standard"/>
        <w:spacing w:line="240" w:lineRule="auto"/>
        <w:jc w:val="both"/>
        <w:rPr>
          <w:rFonts w:eastAsia="Calibri" w:cs="Times New Roman"/>
          <w:color w:val="00000A"/>
          <w:sz w:val="32"/>
          <w:szCs w:val="32"/>
          <w:vertAlign w:val="subscript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b) II. kategorie- veřejné zakázky nad 50 tis. Kč bez DPH</w:t>
      </w:r>
      <w:r w:rsidR="00D01C8C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</w:t>
      </w:r>
      <w:r w:rsidR="00B64870">
        <w:rPr>
          <w:rFonts w:eastAsia="Calibri" w:cs="Times New Roman"/>
          <w:color w:val="00000A"/>
          <w:sz w:val="32"/>
          <w:szCs w:val="32"/>
          <w:vertAlign w:val="subscript"/>
        </w:rPr>
        <w:t>do 2</w:t>
      </w:r>
      <w:r w:rsidR="009C6586" w:rsidRPr="00486057">
        <w:rPr>
          <w:rFonts w:eastAsia="Calibri" w:cs="Times New Roman"/>
          <w:color w:val="00000A"/>
          <w:sz w:val="32"/>
          <w:szCs w:val="32"/>
          <w:vertAlign w:val="subscript"/>
        </w:rPr>
        <w:t>50 tis.Kč   bez DPH</w:t>
      </w:r>
    </w:p>
    <w:p w:rsidR="00D01C8C" w:rsidRPr="00486057" w:rsidRDefault="009C6586" w:rsidP="00930971">
      <w:pPr>
        <w:pStyle w:val="Standard"/>
        <w:spacing w:line="240" w:lineRule="auto"/>
        <w:jc w:val="both"/>
        <w:rPr>
          <w:rFonts w:cs="Times New Roman"/>
          <w:sz w:val="32"/>
          <w:szCs w:val="32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c) III. </w:t>
      </w:r>
      <w:r w:rsidR="00B64870">
        <w:rPr>
          <w:rFonts w:eastAsia="Calibri" w:cs="Times New Roman"/>
          <w:color w:val="00000A"/>
          <w:sz w:val="32"/>
          <w:szCs w:val="32"/>
          <w:vertAlign w:val="subscript"/>
        </w:rPr>
        <w:t>kategorie. veřejné zakázky nad 2</w:t>
      </w: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50 tis. Kč</w:t>
      </w:r>
      <w:r w:rsidR="00D01C8C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do 500 tis. Kč bez DPH</w:t>
      </w:r>
    </w:p>
    <w:p w:rsidR="00CA6372" w:rsidRPr="00486057" w:rsidRDefault="00CA6372" w:rsidP="00930971">
      <w:pPr>
        <w:pStyle w:val="Standard"/>
        <w:spacing w:line="240" w:lineRule="auto"/>
        <w:jc w:val="both"/>
        <w:rPr>
          <w:rFonts w:eastAsia="Calibri" w:cs="Times New Roman"/>
          <w:color w:val="00000A"/>
          <w:sz w:val="32"/>
          <w:szCs w:val="32"/>
          <w:vertAlign w:val="subscript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d) veřejné zakázky nad </w:t>
      </w:r>
      <w:r w:rsidR="009C6586" w:rsidRPr="00486057">
        <w:rPr>
          <w:rFonts w:eastAsia="Calibri" w:cs="Times New Roman"/>
          <w:color w:val="00000A"/>
          <w:sz w:val="32"/>
          <w:szCs w:val="32"/>
          <w:vertAlign w:val="subscript"/>
        </w:rPr>
        <w:t>500 tis. Kč</w:t>
      </w:r>
    </w:p>
    <w:p w:rsidR="00815F64" w:rsidRPr="00486057" w:rsidRDefault="00815F64" w:rsidP="00930971">
      <w:pPr>
        <w:pStyle w:val="Standard"/>
        <w:spacing w:line="240" w:lineRule="auto"/>
        <w:jc w:val="both"/>
        <w:rPr>
          <w:rFonts w:eastAsia="Calibri" w:cs="Times New Roman"/>
          <w:color w:val="00000A"/>
          <w:sz w:val="32"/>
          <w:szCs w:val="32"/>
          <w:vertAlign w:val="subscript"/>
        </w:rPr>
      </w:pPr>
    </w:p>
    <w:p w:rsidR="00BF00A3" w:rsidRPr="00486057" w:rsidRDefault="009C6586" w:rsidP="00930971">
      <w:pPr>
        <w:pStyle w:val="Standard"/>
        <w:spacing w:line="240" w:lineRule="auto"/>
        <w:jc w:val="both"/>
        <w:rPr>
          <w:rFonts w:cs="Times New Roman"/>
          <w:sz w:val="32"/>
          <w:szCs w:val="32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ad a</w:t>
      </w:r>
      <w:r w:rsidR="002E4DCF" w:rsidRPr="00486057">
        <w:rPr>
          <w:rFonts w:eastAsia="Calibri" w:cs="Times New Roman"/>
          <w:color w:val="00000A"/>
          <w:sz w:val="32"/>
          <w:szCs w:val="32"/>
          <w:vertAlign w:val="subscript"/>
        </w:rPr>
        <w:t>)</w:t>
      </w: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</w:t>
      </w:r>
      <w:r w:rsidR="002E4DCF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zadání veřejné zakázky je v kompetenci starosty, popř. místostarosty , který je povinen </w:t>
      </w:r>
      <w:r w:rsidR="00815F64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   </w:t>
      </w:r>
      <w:r w:rsidR="002E4DCF" w:rsidRPr="00486057">
        <w:rPr>
          <w:rFonts w:eastAsia="Calibri" w:cs="Times New Roman"/>
          <w:color w:val="00000A"/>
          <w:sz w:val="32"/>
          <w:szCs w:val="32"/>
          <w:vertAlign w:val="subscript"/>
        </w:rPr>
        <w:t>zajistit, aby byly dodrženy zásady uvedené v § 6 zákona.</w:t>
      </w:r>
      <w:r w:rsidR="00815F64" w:rsidRPr="00486057">
        <w:rPr>
          <w:rFonts w:cs="Times New Roman"/>
          <w:sz w:val="32"/>
          <w:szCs w:val="32"/>
        </w:rPr>
        <w:t xml:space="preserve">. </w:t>
      </w:r>
      <w:r w:rsidR="002E4DCF" w:rsidRPr="00486057">
        <w:rPr>
          <w:rFonts w:eastAsia="Calibri" w:cs="Times New Roman"/>
          <w:color w:val="00000A"/>
          <w:sz w:val="32"/>
          <w:szCs w:val="32"/>
          <w:vertAlign w:val="subscript"/>
        </w:rPr>
        <w:t>Zakázku lze zadat přím</w:t>
      </w:r>
      <w:r w:rsidR="000628AF" w:rsidRPr="00486057">
        <w:rPr>
          <w:rFonts w:eastAsia="Calibri" w:cs="Times New Roman"/>
          <w:color w:val="00000A"/>
          <w:sz w:val="32"/>
          <w:szCs w:val="32"/>
          <w:vertAlign w:val="subscript"/>
        </w:rPr>
        <w:t>o určenému dodavateli dle průzkumu trhu formou</w:t>
      </w:r>
      <w:r w:rsidR="002E4DCF" w:rsidRPr="00486057">
        <w:rPr>
          <w:rFonts w:eastAsia="Calibri" w:cs="Times New Roman"/>
          <w:color w:val="00000A"/>
          <w:sz w:val="32"/>
          <w:szCs w:val="32"/>
          <w:vertAlign w:val="subscript"/>
        </w:rPr>
        <w:t xml:space="preserve"> objednávky nebo formou ústní smlouvy nebo na základě nabídky jednoho osloveného dodavatele, popř. na základě nejvhodnější nabídky </w:t>
      </w:r>
      <w:r w:rsidR="000628AF" w:rsidRPr="00486057">
        <w:rPr>
          <w:rFonts w:eastAsia="Calibri" w:cs="Times New Roman"/>
          <w:color w:val="00000A"/>
          <w:sz w:val="32"/>
          <w:szCs w:val="32"/>
          <w:vertAlign w:val="subscript"/>
        </w:rPr>
        <w:t>jednoho z oslovených dodavatelů</w:t>
      </w:r>
      <w:r w:rsidR="000628AF" w:rsidRPr="00486057">
        <w:rPr>
          <w:rFonts w:cs="Times New Roman"/>
          <w:sz w:val="32"/>
          <w:szCs w:val="32"/>
        </w:rPr>
        <w:t>.</w:t>
      </w:r>
    </w:p>
    <w:p w:rsidR="00D01C8C" w:rsidRPr="00486057" w:rsidRDefault="002E4DCF" w:rsidP="00930971">
      <w:pPr>
        <w:pStyle w:val="Standard"/>
        <w:spacing w:line="240" w:lineRule="auto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  <w:r w:rsidRPr="00486057">
        <w:rPr>
          <w:rFonts w:eastAsia="Calibri" w:cs="Times New Roman"/>
          <w:color w:val="00000A"/>
          <w:sz w:val="32"/>
          <w:szCs w:val="32"/>
          <w:vertAlign w:val="subscript"/>
        </w:rPr>
        <w:t>ad b) zadání zakáz</w:t>
      </w:r>
      <w:r w:rsidR="00815F64" w:rsidRPr="00486057">
        <w:rPr>
          <w:rFonts w:eastAsia="Calibri" w:cs="Times New Roman"/>
          <w:color w:val="00000A"/>
          <w:sz w:val="32"/>
          <w:szCs w:val="32"/>
          <w:vertAlign w:val="subscript"/>
        </w:rPr>
        <w:t>ky je v kompetenci ra</w:t>
      </w:r>
      <w:r w:rsidR="00CA6372" w:rsidRPr="00486057">
        <w:rPr>
          <w:rFonts w:eastAsia="Calibri" w:cs="Times New Roman"/>
          <w:color w:val="00000A"/>
          <w:sz w:val="32"/>
          <w:szCs w:val="32"/>
          <w:vertAlign w:val="subscript"/>
        </w:rPr>
        <w:t>dy města dle aktuálního průzkumu trhu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při dodržení </w:t>
      </w:r>
      <w:r w:rsidR="00815F64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zásad uvedených v §6 zákona.</w:t>
      </w:r>
    </w:p>
    <w:p w:rsidR="000628AF" w:rsidRPr="00486057" w:rsidRDefault="0044201D" w:rsidP="00930971">
      <w:pPr>
        <w:pStyle w:val="Standard"/>
        <w:spacing w:line="240" w:lineRule="auto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ad </w:t>
      </w:r>
      <w:r w:rsidR="00D01C8C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c)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="00D01C8C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při zadání zakázky 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>nad 2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50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tis. Kč bez DPH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do 500 tis.Kč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musí být osloveni minimálně tři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uchazeči</w:t>
      </w:r>
      <w:r w:rsidR="00DC19DC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,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o výběru nejvhodnější nabídky  rozhoduje rada.</w:t>
      </w:r>
    </w:p>
    <w:p w:rsidR="00CA6372" w:rsidRPr="00486057" w:rsidRDefault="0044201D" w:rsidP="00930971">
      <w:pPr>
        <w:pStyle w:val="Standard"/>
        <w:spacing w:line="240" w:lineRule="auto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ad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d)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při zadán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í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zakázky nad 500 tis. Kč musí být   osloveni</w:t>
      </w:r>
      <w:r w:rsidR="00F260D3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na základě písemné výzvy zaslané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</w:t>
      </w:r>
      <w:r w:rsidR="00F260D3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elektronicky</w:t>
      </w:r>
      <w:r w:rsidR="007D0E73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či poštou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 minimálně 3 uchazeči k předložení cenové nabídky s vymezením požadovaného plnění a případně dalšími podmínkami plnění. Lhůta  pro podání nabídky nesmí být kratší než 10 dní </w:t>
      </w:r>
      <w:r w:rsidR="00306CBC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ode 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dne odeslání výzvy nebo jejího uveřejnění. Rada jmenuje pětičlennou komisi, v níž budou nejméně  dva členové rady a zastupitelé, kteří nejsou členy  rady</w:t>
      </w:r>
      <w:r w:rsidR="007D0E73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,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nebo  zastupitelé a přizvaný odborník v daném oboru. Zápis hodnotící komise je  (Zpráva o posouzení 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a hodnocení nabídek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hodnotící komisí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) předkládán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radě, která rozhodne o výběru nejvhodnější nabídky  a uzavření smlouvy nebo o nepřidělení veřejné zakázky .Starosta popř. místostarosta zajistí sdělení rozh</w:t>
      </w:r>
      <w:r w:rsidR="00CA6372" w:rsidRPr="00486057">
        <w:rPr>
          <w:rFonts w:ascii="Arial" w:eastAsia="Calibri" w:hAnsi="Arial" w:cs="Arial"/>
          <w:b/>
          <w:bCs/>
          <w:color w:val="00000A"/>
          <w:sz w:val="32"/>
          <w:szCs w:val="32"/>
          <w:vertAlign w:val="subscript"/>
        </w:rPr>
        <w:t>o</w:t>
      </w:r>
      <w:r w:rsidR="00CA6372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dnutí rady všem uchazečům o veřejnou zakázku.</w:t>
      </w:r>
    </w:p>
    <w:p w:rsidR="00CA6372" w:rsidRPr="00486057" w:rsidRDefault="00CA6372" w:rsidP="00930971">
      <w:pPr>
        <w:pStyle w:val="Standard"/>
        <w:spacing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CA6372" w:rsidRDefault="00CA6372" w:rsidP="00930971">
      <w:pPr>
        <w:pStyle w:val="Standard"/>
        <w:spacing w:line="240" w:lineRule="auto"/>
        <w:ind w:left="2115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C35743" w:rsidRPr="00486057" w:rsidRDefault="00C35743" w:rsidP="00930971">
      <w:pPr>
        <w:pStyle w:val="Standard"/>
        <w:spacing w:line="240" w:lineRule="auto"/>
        <w:ind w:left="2115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BF00A3" w:rsidRPr="00486057" w:rsidRDefault="00F766CE" w:rsidP="00930971">
      <w:pPr>
        <w:pStyle w:val="Standard"/>
        <w:spacing w:line="240" w:lineRule="auto"/>
        <w:jc w:val="both"/>
        <w:rPr>
          <w:rFonts w:ascii="Arial" w:hAnsi="Arial" w:cs="Arial"/>
          <w:sz w:val="36"/>
          <w:szCs w:val="36"/>
        </w:rPr>
      </w:pPr>
      <w:r w:rsidRPr="00486057">
        <w:rPr>
          <w:rFonts w:ascii="Arial" w:eastAsia="Calibri" w:hAnsi="Arial" w:cs="Arial"/>
          <w:b/>
          <w:bCs/>
          <w:color w:val="00000A"/>
          <w:sz w:val="36"/>
          <w:szCs w:val="36"/>
          <w:vertAlign w:val="subscript"/>
        </w:rPr>
        <w:t>7</w:t>
      </w:r>
      <w:r w:rsidR="002E4DCF" w:rsidRPr="00486057">
        <w:rPr>
          <w:rFonts w:ascii="Arial" w:eastAsia="Calibri" w:hAnsi="Arial" w:cs="Arial"/>
          <w:b/>
          <w:bCs/>
          <w:color w:val="00000A"/>
          <w:sz w:val="36"/>
          <w:szCs w:val="36"/>
          <w:vertAlign w:val="subscript"/>
        </w:rPr>
        <w:t>. Výkon zadavatelských činností pověřenou osobou</w:t>
      </w:r>
    </w:p>
    <w:p w:rsidR="00BF00A3" w:rsidRPr="00486057" w:rsidRDefault="002E4DCF" w:rsidP="00930971">
      <w:pPr>
        <w:pStyle w:val="Standard"/>
        <w:spacing w:line="240" w:lineRule="auto"/>
        <w:ind w:left="165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Rada může v souladu s touto směrnicí pověřit na základě uzavření smluvního vztahu jinou právnickou či fyzickou osobu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(dále jen pověřená osoba).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Pověřenou osobou může být pouze subjekt, který splňuje požadave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k nepodjatosti dle § 74 zákona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je způsobily k poskytování uvedených služeb, který se veřejné zakázky neúčastní. Je- li výkon zadavatelských činností prováděn na základě smluvního vztahu, musí smlouva obsahovat ustanovení o plné odpovědnosti pověřené osoby za případné sankce za porušení ustanovení zákona při přípravě a realizaci veřejné zakázky uložené městu Železnice ze strany Úřadu pro ochranu hospodářské soutěže č jiného orgánu v důsledku činnosti pověřené osoby.</w:t>
      </w:r>
    </w:p>
    <w:p w:rsidR="00BF00A3" w:rsidRPr="00486057" w:rsidRDefault="00BF00A3" w:rsidP="00930971">
      <w:pPr>
        <w:pStyle w:val="Standard"/>
        <w:spacing w:line="240" w:lineRule="auto"/>
        <w:jc w:val="both"/>
        <w:rPr>
          <w:rFonts w:ascii="Arial" w:hAnsi="Arial" w:cs="Arial"/>
        </w:rPr>
      </w:pPr>
    </w:p>
    <w:p w:rsidR="00BF00A3" w:rsidRPr="00486057" w:rsidRDefault="00F766CE" w:rsidP="00930971">
      <w:pPr>
        <w:pStyle w:val="Standard"/>
        <w:spacing w:after="160" w:line="240" w:lineRule="auto"/>
        <w:jc w:val="both"/>
        <w:rPr>
          <w:rFonts w:ascii="Arial" w:hAnsi="Arial" w:cs="Arial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8</w:t>
      </w:r>
      <w:r w:rsidR="00815F64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.</w:t>
      </w:r>
      <w:r w:rsidR="002E4DCF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="002E4DCF" w:rsidRPr="00486057">
        <w:rPr>
          <w:rFonts w:ascii="Arial" w:eastAsia="Calibri" w:hAnsi="Arial" w:cs="Arial"/>
          <w:b/>
          <w:color w:val="00000A"/>
          <w:sz w:val="32"/>
          <w:szCs w:val="32"/>
          <w:vertAlign w:val="subscript"/>
        </w:rPr>
        <w:t>Závěrečná ustanovení</w:t>
      </w:r>
    </w:p>
    <w:p w:rsidR="00BF00A3" w:rsidRPr="00486057" w:rsidRDefault="002E4DCF" w:rsidP="00930971">
      <w:pPr>
        <w:pStyle w:val="Standard"/>
        <w:spacing w:after="160" w:line="240" w:lineRule="auto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Ustanovení této s</w:t>
      </w:r>
      <w:r w:rsidR="00815F64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měrnice se nepoužijí v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> </w:t>
      </w:r>
      <w:r w:rsidR="00815F64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případech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,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kdy závazná pravidla pro čerpání finančních </w:t>
      </w:r>
      <w:r w:rsidR="002A13B8"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 xml:space="preserve"> </w:t>
      </w: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prostředků ze státního rozpočtu  či evropských fondů stanoví jiný postup pro zadávání veřejných zakázek. Tato závazná pravidla potom mají přednost před ustanoveními této směrnice. Úkony zadavatele i v těchto případech musí být v souladu se zákonem.</w:t>
      </w:r>
    </w:p>
    <w:p w:rsidR="00815F64" w:rsidRPr="00486057" w:rsidRDefault="00815F64" w:rsidP="00930971">
      <w:pPr>
        <w:pStyle w:val="Standard"/>
        <w:spacing w:after="160" w:line="240" w:lineRule="auto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</w:p>
    <w:p w:rsidR="0061575E" w:rsidRPr="00486057" w:rsidRDefault="0061575E" w:rsidP="00930971">
      <w:pPr>
        <w:pStyle w:val="Standard"/>
        <w:spacing w:after="160"/>
        <w:ind w:left="1920"/>
        <w:jc w:val="both"/>
        <w:rPr>
          <w:rFonts w:ascii="Arial" w:hAnsi="Arial" w:cs="Arial"/>
        </w:rPr>
      </w:pPr>
      <w:r w:rsidRPr="00486057">
        <w:rPr>
          <w:rFonts w:ascii="Arial" w:hAnsi="Arial" w:cs="Arial"/>
        </w:rPr>
        <w:t>Touto směrnicí se ruší směrnice č</w:t>
      </w:r>
      <w:r w:rsidR="00306CBC" w:rsidRPr="00486057">
        <w:rPr>
          <w:rFonts w:ascii="Arial" w:hAnsi="Arial" w:cs="Arial"/>
        </w:rPr>
        <w:t>. 3</w:t>
      </w:r>
      <w:r w:rsidRPr="00486057">
        <w:rPr>
          <w:rFonts w:ascii="Arial" w:hAnsi="Arial" w:cs="Arial"/>
        </w:rPr>
        <w:t>/2015.</w:t>
      </w:r>
    </w:p>
    <w:p w:rsidR="00BF00A3" w:rsidRDefault="002E4DCF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  <w:r w:rsidRPr="00486057">
        <w:rPr>
          <w:rFonts w:ascii="Arial" w:eastAsia="Calibri" w:hAnsi="Arial" w:cs="Arial"/>
          <w:color w:val="00000A"/>
          <w:sz w:val="32"/>
          <w:szCs w:val="32"/>
          <w:vertAlign w:val="subscript"/>
        </w:rPr>
        <w:t>Směrnice nabývá ú</w:t>
      </w:r>
      <w:r w:rsidR="00B64870">
        <w:rPr>
          <w:rFonts w:ascii="Arial" w:eastAsia="Calibri" w:hAnsi="Arial" w:cs="Arial"/>
          <w:color w:val="00000A"/>
          <w:sz w:val="32"/>
          <w:szCs w:val="32"/>
          <w:vertAlign w:val="subscript"/>
        </w:rPr>
        <w:t>činnosti schválením Radou města</w:t>
      </w:r>
    </w:p>
    <w:p w:rsidR="00B64870" w:rsidRDefault="00B64870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32"/>
          <w:szCs w:val="32"/>
          <w:vertAlign w:val="subscript"/>
        </w:rPr>
      </w:pPr>
      <w:r>
        <w:rPr>
          <w:rFonts w:ascii="Arial" w:eastAsia="Calibri" w:hAnsi="Arial" w:cs="Arial"/>
          <w:color w:val="00000A"/>
          <w:sz w:val="32"/>
          <w:szCs w:val="32"/>
          <w:vertAlign w:val="subscript"/>
        </w:rPr>
        <w:t>V Železnici 2. 10. 2017</w:t>
      </w:r>
      <w:bookmarkStart w:id="0" w:name="_GoBack"/>
      <w:bookmarkEnd w:id="0"/>
    </w:p>
    <w:p w:rsidR="00B64870" w:rsidRPr="00B64870" w:rsidRDefault="00B64870" w:rsidP="00930971">
      <w:pPr>
        <w:pStyle w:val="Standard"/>
        <w:spacing w:after="160" w:line="259" w:lineRule="exact"/>
        <w:jc w:val="both"/>
        <w:rPr>
          <w:rFonts w:ascii="Arial" w:hAnsi="Arial" w:cs="Arial"/>
        </w:rPr>
      </w:pPr>
    </w:p>
    <w:p w:rsidR="00BF00A3" w:rsidRPr="00486057" w:rsidRDefault="00306CBC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40"/>
          <w:szCs w:val="40"/>
          <w:vertAlign w:val="subscript"/>
        </w:rPr>
      </w:pPr>
      <w:r w:rsidRPr="00486057">
        <w:rPr>
          <w:rFonts w:ascii="Arial" w:eastAsia="Calibri" w:hAnsi="Arial" w:cs="Arial"/>
          <w:color w:val="00000A"/>
          <w:sz w:val="40"/>
          <w:szCs w:val="40"/>
          <w:vertAlign w:val="subscript"/>
        </w:rPr>
        <w:t>starostka                                                    místostarosta</w:t>
      </w:r>
    </w:p>
    <w:p w:rsidR="00306CBC" w:rsidRPr="00486057" w:rsidRDefault="00306CBC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:rsidR="00BF00A3" w:rsidRPr="00486057" w:rsidRDefault="00BF00A3" w:rsidP="00930971">
      <w:pPr>
        <w:pStyle w:val="Standard"/>
        <w:spacing w:after="160" w:line="259" w:lineRule="exact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:rsidR="00BF00A3" w:rsidRDefault="00BF00A3" w:rsidP="00930971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vertAlign w:val="subscript"/>
        </w:rPr>
      </w:pPr>
    </w:p>
    <w:p w:rsidR="00BF00A3" w:rsidRDefault="00BF00A3" w:rsidP="00930971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vertAlign w:val="subscript"/>
        </w:rPr>
      </w:pPr>
    </w:p>
    <w:p w:rsidR="00BF00A3" w:rsidRDefault="00BF00A3" w:rsidP="00930971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vertAlign w:val="subscript"/>
        </w:rPr>
      </w:pPr>
    </w:p>
    <w:p w:rsidR="00BF00A3" w:rsidRDefault="00BF00A3" w:rsidP="00930971">
      <w:pPr>
        <w:pStyle w:val="Standard"/>
        <w:spacing w:after="160" w:line="259" w:lineRule="exact"/>
        <w:jc w:val="both"/>
        <w:rPr>
          <w:rFonts w:ascii="Calibri" w:eastAsia="Calibri" w:hAnsi="Calibri" w:cs="Calibri"/>
          <w:color w:val="00000A"/>
          <w:vertAlign w:val="subscript"/>
        </w:rPr>
      </w:pPr>
    </w:p>
    <w:p w:rsidR="00BF00A3" w:rsidRDefault="00BF00A3" w:rsidP="00930971">
      <w:pPr>
        <w:pStyle w:val="Standard"/>
        <w:spacing w:after="160" w:line="259" w:lineRule="exact"/>
        <w:jc w:val="both"/>
      </w:pPr>
    </w:p>
    <w:sectPr w:rsidR="00BF00A3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E8" w:rsidRDefault="00C900E8">
      <w:r>
        <w:separator/>
      </w:r>
    </w:p>
  </w:endnote>
  <w:endnote w:type="continuationSeparator" w:id="0">
    <w:p w:rsidR="00C900E8" w:rsidRDefault="00C9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E8" w:rsidRDefault="00C900E8">
      <w:r>
        <w:rPr>
          <w:color w:val="000000"/>
        </w:rPr>
        <w:separator/>
      </w:r>
    </w:p>
  </w:footnote>
  <w:footnote w:type="continuationSeparator" w:id="0">
    <w:p w:rsidR="00C900E8" w:rsidRDefault="00C9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61D6"/>
    <w:multiLevelType w:val="multilevel"/>
    <w:tmpl w:val="12A83DC0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854410"/>
    <w:multiLevelType w:val="multilevel"/>
    <w:tmpl w:val="D8863614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475FFC"/>
    <w:multiLevelType w:val="multilevel"/>
    <w:tmpl w:val="3B48A5E8"/>
    <w:lvl w:ilvl="0">
      <w:start w:val="7"/>
      <w:numFmt w:val="decimal"/>
      <w:lvlText w:val="%1."/>
      <w:lvlJc w:val="left"/>
      <w:pPr>
        <w:ind w:left="2280" w:hanging="360"/>
      </w:pPr>
      <w:rPr>
        <w:rFonts w:eastAsia="Calibri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4193825"/>
    <w:multiLevelType w:val="hybridMultilevel"/>
    <w:tmpl w:val="6646287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D927D6"/>
    <w:multiLevelType w:val="multilevel"/>
    <w:tmpl w:val="EB3E3736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C7834FE"/>
    <w:multiLevelType w:val="multilevel"/>
    <w:tmpl w:val="439AE29C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820236"/>
    <w:multiLevelType w:val="hybridMultilevel"/>
    <w:tmpl w:val="1CC649AC"/>
    <w:lvl w:ilvl="0" w:tplc="EFC27B14">
      <w:start w:val="7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A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4B5C"/>
    <w:multiLevelType w:val="multilevel"/>
    <w:tmpl w:val="7972A68E"/>
    <w:styleLink w:val="WWNum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367E6B"/>
    <w:multiLevelType w:val="hybridMultilevel"/>
    <w:tmpl w:val="5EC652FC"/>
    <w:lvl w:ilvl="0" w:tplc="79B0C006">
      <w:start w:val="4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b/>
        <w:color w:val="00000A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02390"/>
    <w:multiLevelType w:val="multilevel"/>
    <w:tmpl w:val="231C2A16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6A3A70"/>
    <w:multiLevelType w:val="hybridMultilevel"/>
    <w:tmpl w:val="B218E644"/>
    <w:lvl w:ilvl="0" w:tplc="FC480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D6118"/>
    <w:multiLevelType w:val="hybridMultilevel"/>
    <w:tmpl w:val="20B890E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6F405B4"/>
    <w:multiLevelType w:val="hybridMultilevel"/>
    <w:tmpl w:val="17E61D36"/>
    <w:lvl w:ilvl="0" w:tplc="0405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63980C69"/>
    <w:multiLevelType w:val="hybridMultilevel"/>
    <w:tmpl w:val="A5C642C0"/>
    <w:lvl w:ilvl="0" w:tplc="0405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6A6870DE"/>
    <w:multiLevelType w:val="hybridMultilevel"/>
    <w:tmpl w:val="F90E39AC"/>
    <w:lvl w:ilvl="0" w:tplc="3020C47A">
      <w:start w:val="7"/>
      <w:numFmt w:val="decimal"/>
      <w:lvlText w:val="%1."/>
      <w:lvlJc w:val="left"/>
      <w:pPr>
        <w:ind w:left="420" w:hanging="360"/>
      </w:pPr>
      <w:rPr>
        <w:rFonts w:eastAsia="Calibri" w:cs="Times New Roman" w:hint="default"/>
        <w:color w:val="00000A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15815A4"/>
    <w:multiLevelType w:val="hybridMultilevel"/>
    <w:tmpl w:val="AC50E6A4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71F05D63"/>
    <w:multiLevelType w:val="multilevel"/>
    <w:tmpl w:val="EE363906"/>
    <w:styleLink w:val="WWNum7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7280E00"/>
    <w:multiLevelType w:val="hybridMultilevel"/>
    <w:tmpl w:val="83667C76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AD640E2"/>
    <w:multiLevelType w:val="hybridMultilevel"/>
    <w:tmpl w:val="CBA4CAEA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>
      <w:lvl w:ilvl="0">
        <w:numFmt w:val="bullet"/>
        <w:lvlText w:val="•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6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8"/>
  </w:num>
  <w:num w:numId="19">
    <w:abstractNumId w:val="12"/>
  </w:num>
  <w:num w:numId="20">
    <w:abstractNumId w:val="13"/>
  </w:num>
  <w:num w:numId="21">
    <w:abstractNumId w:val="11"/>
  </w:num>
  <w:num w:numId="22">
    <w:abstractNumId w:val="6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A3"/>
    <w:rsid w:val="000628AF"/>
    <w:rsid w:val="00197261"/>
    <w:rsid w:val="002A13B8"/>
    <w:rsid w:val="002E4DCF"/>
    <w:rsid w:val="00306CBC"/>
    <w:rsid w:val="003C0319"/>
    <w:rsid w:val="0044201D"/>
    <w:rsid w:val="00451BAB"/>
    <w:rsid w:val="00486057"/>
    <w:rsid w:val="00523E92"/>
    <w:rsid w:val="005C5FEC"/>
    <w:rsid w:val="00610BBF"/>
    <w:rsid w:val="0061575E"/>
    <w:rsid w:val="007357CB"/>
    <w:rsid w:val="007D0E73"/>
    <w:rsid w:val="00815F64"/>
    <w:rsid w:val="00844225"/>
    <w:rsid w:val="00885989"/>
    <w:rsid w:val="00930971"/>
    <w:rsid w:val="00976CDA"/>
    <w:rsid w:val="009C6586"/>
    <w:rsid w:val="00A51DED"/>
    <w:rsid w:val="00A62EF9"/>
    <w:rsid w:val="00A842F5"/>
    <w:rsid w:val="00B64870"/>
    <w:rsid w:val="00BE0774"/>
    <w:rsid w:val="00BF00A3"/>
    <w:rsid w:val="00C35743"/>
    <w:rsid w:val="00C85E27"/>
    <w:rsid w:val="00C900E8"/>
    <w:rsid w:val="00CA6372"/>
    <w:rsid w:val="00CD03E4"/>
    <w:rsid w:val="00D01C8C"/>
    <w:rsid w:val="00D411A4"/>
    <w:rsid w:val="00D57180"/>
    <w:rsid w:val="00DB7628"/>
    <w:rsid w:val="00DC19DC"/>
    <w:rsid w:val="00E301E8"/>
    <w:rsid w:val="00F259D5"/>
    <w:rsid w:val="00F260D3"/>
    <w:rsid w:val="00F766CE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A9E8-8F07-4CFC-B54B-6A8BB90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D57180"/>
    <w:pPr>
      <w:keepNext/>
      <w:widowControl/>
      <w:suppressAutoHyphens w:val="0"/>
      <w:autoSpaceDN/>
      <w:jc w:val="right"/>
      <w:textAlignment w:val="auto"/>
      <w:outlineLvl w:val="0"/>
    </w:pPr>
    <w:rPr>
      <w:rFonts w:ascii="Bookman Old Style" w:eastAsia="Times New Roman" w:hAnsi="Bookman Old Style" w:cs="Times New Roman"/>
      <w:b/>
      <w:color w:val="0000FF"/>
      <w:kern w:val="0"/>
      <w:sz w:val="44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numbering" w:customStyle="1" w:styleId="WWNum4">
    <w:name w:val="WWNum4"/>
    <w:basedOn w:val="Bezseznamu"/>
    <w:pPr>
      <w:numPr>
        <w:numId w:val="1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11">
    <w:name w:val="WWNum11"/>
    <w:basedOn w:val="Bezseznamu"/>
    <w:pPr>
      <w:numPr>
        <w:numId w:val="3"/>
      </w:numPr>
    </w:pPr>
  </w:style>
  <w:style w:type="numbering" w:customStyle="1" w:styleId="WWNum15">
    <w:name w:val="WWNum15"/>
    <w:basedOn w:val="Bezseznamu"/>
    <w:pPr>
      <w:numPr>
        <w:numId w:val="4"/>
      </w:numPr>
    </w:pPr>
  </w:style>
  <w:style w:type="numbering" w:customStyle="1" w:styleId="WWNum18">
    <w:name w:val="WWNum18"/>
    <w:basedOn w:val="Bezseznamu"/>
    <w:pPr>
      <w:numPr>
        <w:numId w:val="5"/>
      </w:numPr>
    </w:pPr>
  </w:style>
  <w:style w:type="numbering" w:customStyle="1" w:styleId="WWNum20">
    <w:name w:val="WWNum20"/>
    <w:basedOn w:val="Bezseznamu"/>
    <w:pPr>
      <w:numPr>
        <w:numId w:val="6"/>
      </w:numPr>
    </w:pPr>
  </w:style>
  <w:style w:type="numbering" w:customStyle="1" w:styleId="WWNum23">
    <w:name w:val="WWNum23"/>
    <w:basedOn w:val="Bezseznamu"/>
    <w:pPr>
      <w:numPr>
        <w:numId w:val="7"/>
      </w:numPr>
    </w:pPr>
  </w:style>
  <w:style w:type="character" w:customStyle="1" w:styleId="Nadpis1Char">
    <w:name w:val="Nadpis 1 Char"/>
    <w:basedOn w:val="Standardnpsmoodstavce"/>
    <w:link w:val="Nadpis1"/>
    <w:rsid w:val="00D57180"/>
    <w:rPr>
      <w:rFonts w:ascii="Bookman Old Style" w:eastAsia="Times New Roman" w:hAnsi="Bookman Old Style" w:cs="Times New Roman"/>
      <w:b/>
      <w:color w:val="0000FF"/>
      <w:kern w:val="0"/>
      <w:sz w:val="4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D03E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9EA2-63C8-4720-ABED-BE312D90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Starosta</cp:lastModifiedBy>
  <cp:revision>3</cp:revision>
  <cp:lastPrinted>2017-02-17T13:04:00Z</cp:lastPrinted>
  <dcterms:created xsi:type="dcterms:W3CDTF">2017-10-09T09:46:00Z</dcterms:created>
  <dcterms:modified xsi:type="dcterms:W3CDTF">2017-10-09T09:50:00Z</dcterms:modified>
</cp:coreProperties>
</file>